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716E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716E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 xml:space="preserve">оговоры), в отношении </w:t>
      </w:r>
      <w:proofErr w:type="gramStart"/>
      <w:r w:rsidRPr="00F84878">
        <w:t>права на заключение</w:t>
      </w:r>
      <w:proofErr w:type="gramEnd"/>
      <w:r w:rsidRPr="00F84878">
        <w:t xml:space="preserve">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716E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61B0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C3070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A52722"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C3070C" w:rsidRPr="0026485E" w:rsidRDefault="00C3070C" w:rsidP="000F4823">
            <w:pPr>
              <w:pStyle w:val="Default"/>
              <w:jc w:val="both"/>
              <w:rPr>
                <w:bCs/>
              </w:rPr>
            </w:pPr>
          </w:p>
          <w:p w:rsidR="00C3070C" w:rsidRPr="00C3070C" w:rsidRDefault="00C3070C" w:rsidP="00C3070C">
            <w:pPr>
              <w:pStyle w:val="Default"/>
              <w:rPr>
                <w:bCs/>
              </w:rPr>
            </w:pPr>
            <w:r w:rsidRPr="00C3070C">
              <w:rPr>
                <w:bCs/>
              </w:rPr>
              <w:t>Ответственное лицо Заказчика по техническим вопросам проведения Открытого запроса предложений:</w:t>
            </w:r>
          </w:p>
          <w:p w:rsidR="00C3070C" w:rsidRPr="00C3070C" w:rsidRDefault="00C3070C" w:rsidP="00C3070C">
            <w:pPr>
              <w:pStyle w:val="Default"/>
              <w:rPr>
                <w:bCs/>
                <w:iCs/>
              </w:rPr>
            </w:pPr>
            <w:r w:rsidRPr="00C3070C">
              <w:rPr>
                <w:bCs/>
                <w:iCs/>
              </w:rPr>
              <w:t>Тимофеев Игорь Александрович</w:t>
            </w:r>
          </w:p>
          <w:p w:rsidR="0014229A" w:rsidRPr="00A52722" w:rsidRDefault="00C3070C" w:rsidP="00C3070C">
            <w:pPr>
              <w:pStyle w:val="Default"/>
            </w:pPr>
            <w:r w:rsidRPr="00C3070C">
              <w:rPr>
                <w:bCs/>
              </w:rPr>
              <w:t>тел</w:t>
            </w:r>
            <w:r w:rsidRPr="00A52722">
              <w:rPr>
                <w:bCs/>
              </w:rPr>
              <w:t xml:space="preserve">. + 7 (347)2215478 </w:t>
            </w:r>
            <w:r w:rsidRPr="00C3070C">
              <w:rPr>
                <w:bCs/>
                <w:lang w:val="en-US"/>
              </w:rPr>
              <w:t>e</w:t>
            </w:r>
            <w:r w:rsidRPr="00A52722">
              <w:rPr>
                <w:bCs/>
              </w:rPr>
              <w:t>-</w:t>
            </w:r>
            <w:r w:rsidRPr="00C3070C">
              <w:rPr>
                <w:bCs/>
                <w:lang w:val="en-US"/>
              </w:rPr>
              <w:t>mail</w:t>
            </w:r>
            <w:r w:rsidRPr="00A52722">
              <w:rPr>
                <w:bCs/>
              </w:rPr>
              <w:t xml:space="preserve">: </w:t>
            </w:r>
            <w:proofErr w:type="spellStart"/>
            <w:r w:rsidRPr="00C3070C">
              <w:rPr>
                <w:bCs/>
                <w:lang w:val="en-US"/>
              </w:rPr>
              <w:t>Timofeev</w:t>
            </w:r>
            <w:proofErr w:type="spellEnd"/>
            <w:r w:rsidRPr="00A52722">
              <w:rPr>
                <w:bCs/>
              </w:rPr>
              <w:t>@</w:t>
            </w:r>
            <w:proofErr w:type="spellStart"/>
            <w:r w:rsidRPr="00C3070C">
              <w:rPr>
                <w:bCs/>
                <w:lang w:val="en-US"/>
              </w:rPr>
              <w:t>bashtel</w:t>
            </w:r>
            <w:proofErr w:type="spellEnd"/>
            <w:r w:rsidRPr="00A52722">
              <w:rPr>
                <w:bCs/>
              </w:rPr>
              <w:t>.</w:t>
            </w:r>
            <w:proofErr w:type="spellStart"/>
            <w:r w:rsidRPr="00C3070C">
              <w:rPr>
                <w:bCs/>
                <w:lang w:val="en-US"/>
              </w:rPr>
              <w:t>ru</w:t>
            </w:r>
            <w:proofErr w:type="spellEnd"/>
            <w:r w:rsidR="003B25CB" w:rsidRPr="00A52722">
              <w:rPr>
                <w:bCs/>
              </w:rPr>
              <w:t xml:space="preserve"> </w:t>
            </w:r>
            <w:r w:rsidR="003B25CB" w:rsidRPr="00A52722">
              <w:rPr>
                <w:bCs/>
                <w:sz w:val="10"/>
                <w:szCs w:val="10"/>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5272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находящейся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C3070C" w:rsidP="000F4823">
            <w:r>
              <w:t>«13</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C3070C">
              <w:t>: «13</w:t>
            </w:r>
            <w:r w:rsidR="00F716E9">
              <w:t>» октября 2015 года в 1</w:t>
            </w:r>
            <w:r w:rsidR="00F716E9" w:rsidRPr="00F716E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B4E9D">
            <w:r>
              <w:t>«</w:t>
            </w:r>
            <w:r w:rsidR="006B4E9D" w:rsidRPr="006B4E9D">
              <w:t>02</w:t>
            </w:r>
            <w:r w:rsidR="000F4823" w:rsidRPr="000F4823">
              <w:t xml:space="preserve">» </w:t>
            </w:r>
            <w:r w:rsidR="006B4E9D" w:rsidRPr="006B4E9D">
              <w:t>ноября</w:t>
            </w:r>
            <w:r w:rsidR="000F4823" w:rsidRPr="000F4823">
              <w:t xml:space="preserve">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6B4E9D" w:rsidP="006B4E9D">
            <w:pPr>
              <w:rPr>
                <w:highlight w:val="lightGray"/>
              </w:rPr>
            </w:pPr>
            <w:r>
              <w:rPr>
                <w:iCs/>
              </w:rPr>
              <w:t>«02</w:t>
            </w:r>
            <w:r w:rsidR="000F4823" w:rsidRPr="000F4823">
              <w:rPr>
                <w:iCs/>
              </w:rPr>
              <w:t xml:space="preserve">» </w:t>
            </w:r>
            <w:r>
              <w:rPr>
                <w:iCs/>
              </w:rPr>
              <w:t>ноября</w:t>
            </w:r>
            <w:r w:rsidR="000F4823" w:rsidRPr="000F4823">
              <w:rPr>
                <w:iCs/>
              </w:rPr>
              <w:t xml:space="preserve">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6B4E9D">
              <w:t>: «03</w:t>
            </w:r>
            <w:r w:rsidRPr="000F4823">
              <w:t xml:space="preserve">» </w:t>
            </w:r>
            <w:r w:rsidR="006B4E9D">
              <w:t>ноября</w:t>
            </w:r>
            <w:r w:rsidRPr="000F4823">
              <w:t xml:space="preserve">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6B4E9D">
              <w:t>: «05</w:t>
            </w:r>
            <w:r w:rsidRPr="000F4823">
              <w:t xml:space="preserve">» </w:t>
            </w:r>
            <w:r w:rsidR="006B4E9D">
              <w:t>ноября</w:t>
            </w:r>
            <w:r w:rsidRPr="000F4823">
              <w:t xml:space="preserve">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B4E9D">
              <w:t>16</w:t>
            </w:r>
            <w:r w:rsidRPr="000F4823">
              <w:t xml:space="preserve">» </w:t>
            </w:r>
            <w:r w:rsidR="003B6396" w:rsidRPr="003B6396">
              <w:t>ноября</w:t>
            </w:r>
            <w:r w:rsidRPr="000F4823">
              <w:t xml:space="preserve"> 2015 года </w:t>
            </w:r>
          </w:p>
          <w:p w:rsidR="000F4823" w:rsidRPr="000F4823" w:rsidRDefault="000F4823" w:rsidP="000F4823">
            <w:bookmarkStart w:id="12" w:name="_GoBack"/>
            <w:bookmarkEnd w:id="12"/>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3070C" w:rsidRPr="00C3070C" w:rsidRDefault="00C3070C" w:rsidP="00C3070C">
            <w:r w:rsidRPr="00C3070C">
              <w:rPr>
                <w:b/>
              </w:rPr>
              <w:t xml:space="preserve">Предоставление права на использование программного продукта </w:t>
            </w:r>
            <w:proofErr w:type="spellStart"/>
            <w:r w:rsidRPr="00C3070C">
              <w:rPr>
                <w:b/>
                <w:lang w:val="en-US"/>
              </w:rPr>
              <w:t>Elecard</w:t>
            </w:r>
            <w:proofErr w:type="spellEnd"/>
            <w:r w:rsidRPr="00C3070C">
              <w:rPr>
                <w:b/>
              </w:rPr>
              <w:t xml:space="preserve"> </w:t>
            </w:r>
            <w:proofErr w:type="spellStart"/>
            <w:r w:rsidRPr="00C3070C">
              <w:rPr>
                <w:b/>
                <w:lang w:val="en-US"/>
              </w:rPr>
              <w:t>CodecWorks</w:t>
            </w:r>
            <w:proofErr w:type="spellEnd"/>
            <w:r w:rsidRPr="00C3070C">
              <w:rPr>
                <w:b/>
              </w:rPr>
              <w:t>.</w:t>
            </w:r>
            <w:r w:rsidRPr="00C3070C">
              <w:t xml:space="preserve"> </w:t>
            </w:r>
          </w:p>
          <w:p w:rsidR="0014229A" w:rsidRPr="00227C39" w:rsidRDefault="00CA4351" w:rsidP="00C3070C">
            <w:pPr>
              <w:pStyle w:val="Default"/>
              <w:jc w:val="both"/>
              <w:rPr>
                <w:iCs/>
              </w:rPr>
            </w:pPr>
            <w:r w:rsidRPr="00CA4351">
              <w:rPr>
                <w:rFonts w:eastAsia="Times New Roman"/>
                <w:color w:val="auto"/>
                <w:lang w:eastAsia="ru-RU"/>
              </w:rPr>
              <w:t>Описание и технические требования к программному продукту определяются спецификацией (Приложение № 1.1 к настоящему Извещению), Техническими требованиями (Приложение № 1.2 к настоящему Извещению) и условиями проекта договора (Приложение №2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CA4351" w:rsidP="000F4823">
            <w:pPr>
              <w:jc w:val="both"/>
            </w:pPr>
            <w:r w:rsidRPr="00CA4351">
              <w:lastRenderedPageBreak/>
              <w:t>Описание и технические требования к программному продукту определяются спецификацией (Приложение № 1.1 к настоящему Извещению), Техническими требованиями (Приложение № 1.2 к настоящему Извещению) и условиями проекта договора (Приложение №2 к настоящему Извещению).</w:t>
            </w:r>
          </w:p>
          <w:p w:rsidR="00CA4351" w:rsidRPr="005C24A0" w:rsidRDefault="00CA4351" w:rsidP="000F4823">
            <w:pPr>
              <w:jc w:val="both"/>
            </w:pPr>
            <w:r w:rsidRPr="00CA4351">
              <w:t>Условия предоставления прав определены в Приложениях №№ 1.1, 1.2, 2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A4351" w:rsidRPr="00CA4351" w:rsidRDefault="00CA4351" w:rsidP="00CA4351">
            <w:pPr>
              <w:autoSpaceDE w:val="0"/>
              <w:autoSpaceDN w:val="0"/>
              <w:adjustRightInd w:val="0"/>
              <w:jc w:val="both"/>
              <w:rPr>
                <w:rFonts w:eastAsia="Calibri"/>
                <w:b/>
                <w:iCs/>
                <w:color w:val="000000"/>
                <w:lang w:eastAsia="en-US"/>
              </w:rPr>
            </w:pPr>
            <w:r w:rsidRPr="00CA4351">
              <w:rPr>
                <w:rFonts w:eastAsia="Calibri"/>
                <w:b/>
                <w:iCs/>
                <w:color w:val="000000"/>
                <w:lang w:eastAsia="en-US"/>
              </w:rPr>
              <w:t>4 881 650,00 рублей без учета НДС.</w:t>
            </w:r>
          </w:p>
          <w:p w:rsidR="00CA4351" w:rsidRPr="00CA4351" w:rsidRDefault="00CA4351" w:rsidP="00CA4351">
            <w:pPr>
              <w:autoSpaceDE w:val="0"/>
              <w:autoSpaceDN w:val="0"/>
              <w:adjustRightInd w:val="0"/>
              <w:jc w:val="both"/>
              <w:rPr>
                <w:rFonts w:eastAsia="Calibri"/>
                <w:iCs/>
                <w:color w:val="000000"/>
                <w:lang w:eastAsia="en-US"/>
              </w:rPr>
            </w:pPr>
            <w:r w:rsidRPr="00CA4351">
              <w:rPr>
                <w:rFonts w:eastAsia="Calibri"/>
                <w:iCs/>
                <w:color w:val="000000"/>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CA4351" w:rsidP="00CA4351">
            <w:pPr>
              <w:ind w:firstLine="34"/>
              <w:jc w:val="both"/>
            </w:pPr>
            <w:r w:rsidRPr="00CA4351">
              <w:rPr>
                <w:iCs/>
              </w:rPr>
              <w:t>Цена за единицу,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w:t>
            </w:r>
            <w:r>
              <w:rPr>
                <w:iCs/>
              </w:rPr>
              <w:t xml:space="preserve"> 1.</w:t>
            </w:r>
            <w:r w:rsidRPr="00CA4351">
              <w:rPr>
                <w:iCs/>
              </w:rPr>
              <w:t>1</w:t>
            </w:r>
            <w:r w:rsidRPr="00CA4351">
              <w:t xml:space="preserve"> </w:t>
            </w:r>
            <w:r w:rsidRPr="00CA4351">
              <w:rPr>
                <w:iCs/>
              </w:rPr>
              <w:t>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w:t>
                  </w:r>
                  <w:r w:rsidR="0014229A" w:rsidRPr="00561F9A">
                    <w:rPr>
                      <w:rFonts w:cs="Arial"/>
                      <w:color w:val="000000"/>
                    </w:rPr>
                    <w:lastRenderedPageBreak/>
                    <w:t xml:space="preserve">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w:t>
                  </w:r>
                  <w:r w:rsidRPr="00D82466">
                    <w:rPr>
                      <w:rFonts w:cs="Arial"/>
                      <w:color w:val="000000"/>
                    </w:rPr>
                    <w:lastRenderedPageBreak/>
                    <w:t xml:space="preserve">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4229A" w:rsidRPr="00F84878" w:rsidTr="003B25CB">
              <w:tc>
                <w:tcPr>
                  <w:tcW w:w="3675"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14229A" w:rsidRPr="00F84878" w:rsidRDefault="0014229A" w:rsidP="003B25CB">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CA4351">
              <w:trPr>
                <w:trHeight w:val="1546"/>
              </w:trPr>
              <w:tc>
                <w:tcPr>
                  <w:tcW w:w="3675" w:type="dxa"/>
                  <w:shd w:val="clear" w:color="auto" w:fill="auto"/>
                </w:tcPr>
                <w:p w:rsidR="0014229A" w:rsidRPr="00ED7BA7" w:rsidRDefault="000F4823" w:rsidP="003B25CB">
                  <w:pPr>
                    <w:jc w:val="both"/>
                    <w:rPr>
                      <w:rFonts w:cs="Arial"/>
                      <w:b/>
                      <w:i/>
                      <w:color w:val="FF0000"/>
                      <w:highlight w:val="cyan"/>
                    </w:rPr>
                  </w:pPr>
                  <w:r>
                    <w:lastRenderedPageBreak/>
                    <w:t>Наличие</w:t>
                  </w:r>
                  <w:r w:rsidR="008F2EB6">
                    <w:t xml:space="preserve"> права</w:t>
                  </w:r>
                  <w:r>
                    <w:t xml:space="preserve"> </w:t>
                  </w:r>
                  <w:r w:rsidRPr="00AF465C">
                    <w:t>перепродавать и/или заниматься распространением продуктов и/или услуг</w:t>
                  </w:r>
                  <w:r>
                    <w:t>, являющихся предметом закупки,</w:t>
                  </w:r>
                  <w:r w:rsidR="008F2EB6">
                    <w:t xml:space="preserve"> на территории Российской Федерации</w:t>
                  </w:r>
                  <w:r w:rsidRPr="00AF465C">
                    <w:t xml:space="preserve"> конечным пользователям в пределах такой территории</w:t>
                  </w:r>
                </w:p>
              </w:tc>
              <w:tc>
                <w:tcPr>
                  <w:tcW w:w="3676" w:type="dxa"/>
                  <w:shd w:val="clear" w:color="auto" w:fill="auto"/>
                </w:tcPr>
                <w:p w:rsidR="0014229A" w:rsidRPr="00ED7BA7" w:rsidRDefault="00CA4351" w:rsidP="00CA4351">
                  <w:pPr>
                    <w:jc w:val="both"/>
                    <w:rPr>
                      <w:rFonts w:cs="Arial"/>
                      <w:b/>
                      <w:color w:val="FF0000"/>
                      <w:highlight w:val="cyan"/>
                    </w:rPr>
                  </w:pPr>
                  <w:r w:rsidRPr="00CA4351">
                    <w:t>Письменное разрешение правообладателя или иной документ, подтверждающий наличие такого права</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52722" w:rsidP="003B25CB">
                  <w:pPr>
                    <w:pStyle w:val="a4"/>
                    <w:ind w:left="0"/>
                    <w:rPr>
                      <w:rFonts w:cs="Arial"/>
                      <w:color w:val="000000"/>
                    </w:rPr>
                  </w:pPr>
                  <w:r>
                    <w:rPr>
                      <w:rFonts w:cs="Arial"/>
                      <w:color w:val="000000"/>
                    </w:rPr>
                    <w:t>9</w:t>
                  </w:r>
                  <w:r>
                    <w:rPr>
                      <w:rFonts w:cs="Arial"/>
                      <w:color w:val="000000"/>
                      <w:lang w:val="en-US"/>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EC79E6">
              <w:trPr>
                <w:trHeight w:val="1375"/>
              </w:trPr>
              <w:tc>
                <w:tcPr>
                  <w:tcW w:w="2722" w:type="dxa"/>
                  <w:shd w:val="clear" w:color="auto" w:fill="auto"/>
                </w:tcPr>
                <w:p w:rsidR="0014229A" w:rsidRPr="000B1F96" w:rsidRDefault="00CA4351" w:rsidP="000B1F96">
                  <w:pPr>
                    <w:ind w:hanging="3"/>
                    <w:jc w:val="both"/>
                    <w:rPr>
                      <w:bCs/>
                    </w:rPr>
                  </w:pPr>
                  <w:r w:rsidRPr="00E75FC5">
                    <w:t xml:space="preserve">Согласие </w:t>
                  </w:r>
                  <w:r>
                    <w:t>участника</w:t>
                  </w:r>
                  <w:r w:rsidRPr="00E75FC5">
                    <w:t xml:space="preserve"> на условие оплаты по договору</w:t>
                  </w:r>
                  <w:r w:rsidR="00A52722">
                    <w:t>:</w:t>
                  </w:r>
                  <w:r w:rsidR="0054531C">
                    <w:t xml:space="preserve"> </w:t>
                  </w:r>
                  <w:r w:rsidR="0054531C" w:rsidRPr="0054531C">
                    <w:rPr>
                      <w:bCs/>
                    </w:rPr>
                    <w:t>Лицензиат/Сублицензиат обязуется выплатить Лицензиару Лицензион</w:t>
                  </w:r>
                  <w:r w:rsidR="0054531C">
                    <w:rPr>
                      <w:bCs/>
                    </w:rPr>
                    <w:t>ные отчисления в течение 6</w:t>
                  </w:r>
                  <w:r w:rsidR="0054531C" w:rsidRPr="0054531C">
                    <w:rPr>
                      <w:bCs/>
                    </w:rPr>
                    <w:t>0 (шестидесяти) календарных дней с момента подписания Актов приема-передачи Программного продукта</w:t>
                  </w:r>
                </w:p>
                <w:p w:rsidR="00EC79E6" w:rsidRPr="00561F9A" w:rsidRDefault="00EC79E6" w:rsidP="00A27D60">
                  <w:pPr>
                    <w:pStyle w:val="a4"/>
                    <w:ind w:left="0"/>
                    <w:rPr>
                      <w:rFonts w:cs="Arial"/>
                      <w:color w:val="000000"/>
                    </w:rPr>
                  </w:pPr>
                </w:p>
              </w:tc>
              <w:tc>
                <w:tcPr>
                  <w:tcW w:w="1417" w:type="dxa"/>
                  <w:shd w:val="clear" w:color="auto" w:fill="auto"/>
                </w:tcPr>
                <w:p w:rsidR="0014229A" w:rsidRPr="00561F9A" w:rsidRDefault="00A52722" w:rsidP="003B25CB">
                  <w:pPr>
                    <w:pStyle w:val="a4"/>
                    <w:ind w:left="0"/>
                    <w:rPr>
                      <w:rFonts w:cs="Arial"/>
                      <w:color w:val="000000"/>
                    </w:rPr>
                  </w:pPr>
                  <w:r>
                    <w:rPr>
                      <w:rFonts w:cs="Arial"/>
                      <w:color w:val="000000"/>
                    </w:rPr>
                    <w:t>3</w:t>
                  </w:r>
                  <w:r w:rsidR="00F961B1">
                    <w:rPr>
                      <w:rFonts w:cs="Arial"/>
                      <w:color w:val="000000"/>
                    </w:rPr>
                    <w:t>%</w:t>
                  </w:r>
                </w:p>
              </w:tc>
              <w:tc>
                <w:tcPr>
                  <w:tcW w:w="3402" w:type="dxa"/>
                  <w:shd w:val="clear" w:color="auto" w:fill="auto"/>
                </w:tcPr>
                <w:p w:rsidR="0014229A" w:rsidRPr="00561F9A" w:rsidRDefault="000B1F96" w:rsidP="000B1F96">
                  <w:pPr>
                    <w:pStyle w:val="a4"/>
                    <w:ind w:left="0"/>
                    <w:rPr>
                      <w:rFonts w:cs="Arial"/>
                      <w:color w:val="000000"/>
                    </w:rPr>
                  </w:pPr>
                  <w:r w:rsidRPr="000B1F96">
                    <w:rPr>
                      <w:rFonts w:cs="Arial"/>
                      <w:color w:val="000000"/>
                    </w:rPr>
                    <w:t xml:space="preserve">Оценивается </w:t>
                  </w:r>
                  <w:r>
                    <w:rPr>
                      <w:rFonts w:cs="Arial"/>
                      <w:color w:val="000000"/>
                    </w:rPr>
                    <w:t xml:space="preserve">срок оплаты по договору, указанный участником закупки в его заявке </w:t>
                  </w:r>
                  <w:r w:rsidRPr="000B1F96">
                    <w:rPr>
                      <w:rFonts w:cs="Arial"/>
                      <w:color w:val="000000"/>
                    </w:rPr>
                    <w:t>на участие в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w:t>
            </w:r>
            <w:r w:rsidRPr="00523723">
              <w:lastRenderedPageBreak/>
              <w:t xml:space="preserve">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1F96" w:rsidRPr="000B1F96" w:rsidRDefault="000B1F96" w:rsidP="000B1F96">
            <w:pPr>
              <w:autoSpaceDE w:val="0"/>
              <w:autoSpaceDN w:val="0"/>
              <w:adjustRightInd w:val="0"/>
              <w:jc w:val="both"/>
              <w:rPr>
                <w:rFonts w:eastAsia="Calibri"/>
                <w:iCs/>
                <w:color w:val="000000"/>
                <w:lang w:eastAsia="en-US"/>
              </w:rPr>
            </w:pPr>
            <w:r w:rsidRPr="000B1F96">
              <w:rPr>
                <w:rFonts w:eastAsia="Calibri"/>
                <w:iCs/>
                <w:color w:val="000000"/>
                <w:lang w:eastAsia="en-US"/>
              </w:rPr>
              <w:t>Условия предоставления прав определены в Приложениях №№ 1.1, 1.2, 2 к настоящему Извещению.</w:t>
            </w:r>
          </w:p>
          <w:p w:rsidR="0014229A" w:rsidRPr="00F84878" w:rsidRDefault="000B1F96" w:rsidP="000B1F96">
            <w:pPr>
              <w:pStyle w:val="Default"/>
              <w:jc w:val="both"/>
            </w:pPr>
            <w:r w:rsidRPr="000B1F96">
              <w:rPr>
                <w:iCs/>
              </w:rPr>
              <w:t>Срок (периоды) предоставления: в течение 5 рабочих дней с момента подписания договора.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F716E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F716E9">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w:t>
            </w:r>
            <w:r w:rsidR="000B1F96">
              <w:t xml:space="preserve"> 1.</w:t>
            </w:r>
            <w:r w:rsidR="00A02B2E" w:rsidRPr="00A02B2E">
              <w:t>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F716E9">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F716E9">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F716E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F716E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F716E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lastRenderedPageBreak/>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C6A98" w:rsidRDefault="00346DEA" w:rsidP="008C6A98">
            <w:pPr>
              <w:ind w:firstLine="528"/>
              <w:jc w:val="both"/>
            </w:pPr>
            <w:r w:rsidRPr="00346DEA">
              <w:t>Лицензиат/Сублицензиат обязуется выплатить Лицензиару Лицензионные отчисления в течение 30 (тридцати) календарных дней с момента подписания Актов приема-передачи Программного продукта.</w:t>
            </w:r>
          </w:p>
          <w:p w:rsidR="00346DEA" w:rsidRDefault="00346DEA" w:rsidP="00346DEA">
            <w:pPr>
              <w:ind w:firstLine="528"/>
              <w:jc w:val="both"/>
            </w:pPr>
            <w:r>
              <w:t>Оплата производится Лицензиатом/Сублицензиатом в рублях на основании счета, выставляемого Лицензиаром, путем перечисления Лицензиатом/Сублицензиатом безналичных денежных средств на расчетный счет Лицензиара.</w:t>
            </w:r>
          </w:p>
          <w:p w:rsidR="0014229A" w:rsidRPr="005C24A0" w:rsidRDefault="00346DEA" w:rsidP="00346DEA">
            <w:pPr>
              <w:ind w:firstLine="528"/>
              <w:jc w:val="both"/>
            </w:pPr>
            <w:r>
              <w:t>Датой исполнения Лицензиатом/Сублицензиатом своих обязательств по оплате Лицензионных отчислений, считается дата списания денежных средств с расчетного счета Лицензиата/Сублицензиата.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w:t>
      </w:r>
      <w:r w:rsidR="00346DEA">
        <w:t>.1</w:t>
      </w:r>
      <w:r w:rsidR="005C6DCB" w:rsidRPr="00B21CC5">
        <w:t xml:space="preserve"> к Извещению),</w:t>
      </w:r>
      <w:r w:rsidR="00346DEA">
        <w:t xml:space="preserve"> Технические требования (Приложение № 1.2 к Извещению),</w:t>
      </w:r>
      <w:r w:rsidR="005C6DCB" w:rsidRPr="00B21CC5">
        <w:t xml:space="preserve">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B04" w:rsidRDefault="00261B04" w:rsidP="0014229A">
      <w:r>
        <w:separator/>
      </w:r>
    </w:p>
  </w:endnote>
  <w:endnote w:type="continuationSeparator" w:id="0">
    <w:p w:rsidR="00261B04" w:rsidRDefault="00261B0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B04" w:rsidRDefault="00261B04" w:rsidP="0014229A">
      <w:r>
        <w:separator/>
      </w:r>
    </w:p>
  </w:footnote>
  <w:footnote w:type="continuationSeparator" w:id="0">
    <w:p w:rsidR="00261B04" w:rsidRDefault="00261B0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6B4E9D">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B1F96"/>
    <w:rsid w:val="000D6510"/>
    <w:rsid w:val="000F4823"/>
    <w:rsid w:val="000F7BA5"/>
    <w:rsid w:val="0014229A"/>
    <w:rsid w:val="00155152"/>
    <w:rsid w:val="001B4383"/>
    <w:rsid w:val="001D7DA3"/>
    <w:rsid w:val="00261B04"/>
    <w:rsid w:val="0026485E"/>
    <w:rsid w:val="0032055F"/>
    <w:rsid w:val="0033356E"/>
    <w:rsid w:val="00346DEA"/>
    <w:rsid w:val="00355EFE"/>
    <w:rsid w:val="00373528"/>
    <w:rsid w:val="00375209"/>
    <w:rsid w:val="00393AC3"/>
    <w:rsid w:val="00397B7F"/>
    <w:rsid w:val="003B25CB"/>
    <w:rsid w:val="003B6396"/>
    <w:rsid w:val="003C5771"/>
    <w:rsid w:val="003E3508"/>
    <w:rsid w:val="003F35F7"/>
    <w:rsid w:val="00401F71"/>
    <w:rsid w:val="00411612"/>
    <w:rsid w:val="0043434A"/>
    <w:rsid w:val="00487A5A"/>
    <w:rsid w:val="004C05AA"/>
    <w:rsid w:val="0054531C"/>
    <w:rsid w:val="005717E2"/>
    <w:rsid w:val="00574643"/>
    <w:rsid w:val="00580C36"/>
    <w:rsid w:val="00591BD4"/>
    <w:rsid w:val="005A0857"/>
    <w:rsid w:val="005B0AB9"/>
    <w:rsid w:val="005C6DCB"/>
    <w:rsid w:val="006351F8"/>
    <w:rsid w:val="00660B32"/>
    <w:rsid w:val="00695929"/>
    <w:rsid w:val="006B4E9D"/>
    <w:rsid w:val="007816DF"/>
    <w:rsid w:val="007C17D3"/>
    <w:rsid w:val="007E34B5"/>
    <w:rsid w:val="008239AB"/>
    <w:rsid w:val="0083262D"/>
    <w:rsid w:val="00846365"/>
    <w:rsid w:val="00892DC0"/>
    <w:rsid w:val="008A40EB"/>
    <w:rsid w:val="008C6A98"/>
    <w:rsid w:val="008F2EB6"/>
    <w:rsid w:val="00945B7A"/>
    <w:rsid w:val="009712E0"/>
    <w:rsid w:val="009A662F"/>
    <w:rsid w:val="009F777B"/>
    <w:rsid w:val="00A02B2E"/>
    <w:rsid w:val="00A27D60"/>
    <w:rsid w:val="00A362A1"/>
    <w:rsid w:val="00A52722"/>
    <w:rsid w:val="00A667E3"/>
    <w:rsid w:val="00AB0FBA"/>
    <w:rsid w:val="00AB4EBC"/>
    <w:rsid w:val="00B21CC5"/>
    <w:rsid w:val="00BA27B3"/>
    <w:rsid w:val="00BB560C"/>
    <w:rsid w:val="00C3070C"/>
    <w:rsid w:val="00C327CC"/>
    <w:rsid w:val="00C675FE"/>
    <w:rsid w:val="00C77202"/>
    <w:rsid w:val="00CA4351"/>
    <w:rsid w:val="00CB6832"/>
    <w:rsid w:val="00D37E5A"/>
    <w:rsid w:val="00D4565D"/>
    <w:rsid w:val="00D94587"/>
    <w:rsid w:val="00E74D2C"/>
    <w:rsid w:val="00E9498C"/>
    <w:rsid w:val="00EA1830"/>
    <w:rsid w:val="00EB346C"/>
    <w:rsid w:val="00EC79E6"/>
    <w:rsid w:val="00ED7BA7"/>
    <w:rsid w:val="00EF33D2"/>
    <w:rsid w:val="00F13CAC"/>
    <w:rsid w:val="00F17D4A"/>
    <w:rsid w:val="00F57712"/>
    <w:rsid w:val="00F65720"/>
    <w:rsid w:val="00F716E9"/>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BCF5A-C24B-4782-9B35-F6EAB691F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19</Pages>
  <Words>7399</Words>
  <Characters>42175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27</cp:revision>
  <cp:lastPrinted>2015-10-13T11:10:00Z</cp:lastPrinted>
  <dcterms:created xsi:type="dcterms:W3CDTF">2015-10-07T04:10:00Z</dcterms:created>
  <dcterms:modified xsi:type="dcterms:W3CDTF">2015-10-13T11:30:00Z</dcterms:modified>
</cp:coreProperties>
</file>